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widowControl w:val="off"/>
        <w:tabs>
          <w:tab w:val="left" w:pos="0" w:leader="none"/>
        </w:tabs>
        <w:rPr>
          <w:rFonts w:eastAsia="Arial"/>
          <w:b/>
          <w:sz w:val="36"/>
          <w:szCs w:val="36"/>
          <w:lang w:eastAsia="ar-SA"/>
        </w:rPr>
        <w:outlineLvl w:val="0"/>
      </w:pPr>
      <w:r>
        <w:rPr>
          <w:rFonts w:eastAsia="Arial"/>
          <w:b/>
          <w:sz w:val="36"/>
          <w:szCs w:val="36"/>
          <w:lang w:eastAsia="ar-SA"/>
        </w:rPr>
        <w:t xml:space="preserve">от</w:t>
      </w:r>
      <w:r>
        <w:rPr>
          <w:rFonts w:eastAsia="Arial"/>
          <w:b/>
          <w:sz w:val="36"/>
          <w:szCs w:val="36"/>
          <w:lang w:eastAsia="ar-SA"/>
        </w:rPr>
        <w:t xml:space="preserve"> Автономная некоммерческая организация</w:t>
      </w:r>
      <w:r>
        <w:rPr>
          <w:rFonts w:eastAsia="Arial"/>
          <w:b/>
          <w:sz w:val="36"/>
          <w:szCs w:val="36"/>
          <w:lang w:eastAsia="ar-SA"/>
        </w:rPr>
      </w:r>
    </w:p>
    <w:p>
      <w:pPr>
        <w:jc w:val="center"/>
        <w:widowControl w:val="off"/>
        <w:tabs>
          <w:tab w:val="left" w:pos="0" w:leader="none"/>
        </w:tabs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 xml:space="preserve">Центр инжиниринга и инноваций Томской области</w:t>
      </w:r>
      <w:r>
        <w:rPr>
          <w:rFonts w:eastAsia="Arial"/>
          <w:b/>
          <w:sz w:val="36"/>
          <w:szCs w:val="36"/>
          <w:lang w:eastAsia="ar-SA"/>
        </w:rPr>
      </w:r>
    </w:p>
    <w:p>
      <w:pPr>
        <w:jc w:val="center"/>
        <w:spacing w:line="300" w:lineRule="auto"/>
        <w:widowControl w:val="off"/>
        <w:tabs>
          <w:tab w:val="left" w:pos="0" w:leader="none"/>
        </w:tabs>
        <w:rPr>
          <w:rFonts w:ascii="Garamond" w:hAnsi="Garamond" w:eastAsia="Arial"/>
          <w:b/>
          <w:sz w:val="18"/>
          <w:szCs w:val="18"/>
          <w:lang w:eastAsia="ar-SA"/>
        </w:rPr>
        <w:pBdr>
          <w:bottom w:val="single" w:color="000000" w:sz="18" w:space="1"/>
        </w:pBdr>
        <w:outlineLvl w:val="0"/>
      </w:pPr>
      <w:r>
        <w:rPr>
          <w:rFonts w:ascii="Garamond" w:hAnsi="Garamond" w:eastAsia="Arial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>
        <w:rPr>
          <w:rFonts w:ascii="Wingdings" w:hAnsi="Wingdings" w:eastAsia="Arial"/>
          <w:b/>
          <w:sz w:val="18"/>
          <w:szCs w:val="18"/>
          <w:lang w:eastAsia="ar-SA"/>
        </w:rPr>
        <w:t xml:space="preserve"></w:t>
      </w:r>
      <w:r>
        <w:rPr>
          <w:rFonts w:ascii="Garamond" w:hAnsi="Garamond" w:eastAsia="Arial"/>
          <w:b/>
          <w:sz w:val="18"/>
          <w:szCs w:val="18"/>
          <w:lang w:eastAsia="ar-SA"/>
        </w:rPr>
        <w:t xml:space="preserve"> (3822) </w:t>
      </w:r>
      <w:r>
        <w:rPr>
          <w:rFonts w:ascii="Garamond" w:hAnsi="Garamond" w:eastAsia="Arial"/>
          <w:b/>
          <w:sz w:val="18"/>
          <w:szCs w:val="18"/>
          <w:lang w:eastAsia="ar-SA"/>
        </w:rPr>
        <w:t xml:space="preserve">609</w:t>
      </w:r>
      <w:r>
        <w:rPr>
          <w:rFonts w:ascii="Garamond" w:hAnsi="Garamond" w:eastAsia="Arial"/>
          <w:b/>
          <w:sz w:val="18"/>
          <w:szCs w:val="18"/>
          <w:lang w:eastAsia="ar-SA"/>
        </w:rPr>
        <w:t xml:space="preserve">-</w:t>
      </w:r>
      <w:r>
        <w:rPr>
          <w:rFonts w:ascii="Garamond" w:hAnsi="Garamond" w:eastAsia="Arial"/>
          <w:b/>
          <w:sz w:val="18"/>
          <w:szCs w:val="18"/>
          <w:lang w:eastAsia="ar-SA"/>
        </w:rPr>
        <w:t xml:space="preserve">023</w:t>
      </w:r>
      <w:r>
        <w:rPr>
          <w:rFonts w:ascii="Garamond" w:hAnsi="Garamond" w:eastAsia="Arial"/>
          <w:b/>
          <w:sz w:val="18"/>
          <w:szCs w:val="18"/>
          <w:lang w:eastAsia="ar-SA"/>
        </w:rPr>
      </w:r>
    </w:p>
    <w:p>
      <w:pPr>
        <w:jc w:val="both"/>
        <w:spacing w:line="276" w:lineRule="auto"/>
      </w:pPr>
      <w:r/>
      <w:r/>
    </w:p>
    <w:p>
      <w:pPr>
        <w:jc w:val="both"/>
      </w:pPr>
      <w:r>
        <w:t xml:space="preserve">г. Томск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t xml:space="preserve">   «29</w:t>
      </w:r>
      <w:r>
        <w:t xml:space="preserve">» </w:t>
      </w:r>
      <w:r>
        <w:t xml:space="preserve">сентября</w:t>
      </w:r>
      <w:r>
        <w:t xml:space="preserve"> 2025 г.</w:t>
      </w:r>
      <w:r>
        <w:t xml:space="preserve"> </w:t>
      </w:r>
      <w:r/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</w:p>
    <w:p>
      <w:pPr>
        <w:jc w:val="center"/>
        <w:spacing w:line="276" w:lineRule="auto"/>
        <w:rPr>
          <w:b/>
          <w:bCs/>
        </w:rPr>
      </w:pPr>
      <w:r>
        <w:rPr>
          <w:b/>
          <w:bCs/>
        </w:rPr>
        <w:t xml:space="preserve">ВЫПИСКА ИЗ </w:t>
      </w:r>
      <w:r>
        <w:rPr>
          <w:b/>
          <w:bCs/>
        </w:rPr>
        <w:t xml:space="preserve">ПРОТОКОЛ</w:t>
      </w:r>
      <w:r>
        <w:rPr>
          <w:b/>
          <w:bCs/>
        </w:rPr>
        <w:t xml:space="preserve">А</w:t>
      </w:r>
      <w:r>
        <w:rPr>
          <w:b/>
          <w:bCs/>
        </w:rPr>
        <w:t xml:space="preserve"> № 1</w:t>
      </w:r>
      <w:r>
        <w:t xml:space="preserve"> </w:t>
      </w:r>
      <w:r>
        <w:rPr>
          <w:b/>
          <w:bCs/>
        </w:rPr>
      </w:r>
    </w:p>
    <w:p>
      <w:pPr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Заседания Конкурсной комиссии </w:t>
      </w:r>
      <w:r>
        <w:rPr>
          <w:b/>
          <w:bCs/>
          <w:lang w:eastAsia="ar-SA"/>
        </w:rPr>
      </w:r>
    </w:p>
    <w:p>
      <w:pPr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о проведении конкурса № 2</w:t>
      </w:r>
      <w:r>
        <w:rPr>
          <w:b/>
          <w:bCs/>
          <w:lang w:eastAsia="ar-SA"/>
        </w:rPr>
        <w:t xml:space="preserve"> «Комплексные услуги (РИД) - 2025»</w:t>
      </w:r>
      <w:r>
        <w:rPr>
          <w:b/>
          <w:bCs/>
          <w:lang w:eastAsia="ar-SA"/>
        </w:rPr>
      </w:r>
    </w:p>
    <w:p>
      <w:pPr>
        <w:pStyle w:val="735"/>
        <w:ind w:left="0" w:firstLine="720"/>
        <w:jc w:val="both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35"/>
        <w:jc w:val="both"/>
        <w:rPr>
          <w:szCs w:val="24"/>
        </w:rPr>
      </w:pPr>
      <w:r>
        <w:rPr>
          <w:szCs w:val="24"/>
        </w:rPr>
        <w:t xml:space="preserve">Форма проведения заседания: путем совместного присутствия.</w:t>
      </w:r>
      <w:r>
        <w:rPr>
          <w:szCs w:val="24"/>
        </w:rPr>
      </w:r>
    </w:p>
    <w:p>
      <w:pPr>
        <w:pStyle w:val="735"/>
        <w:ind w:left="0" w:firstLine="720"/>
        <w:jc w:val="both"/>
        <w:rPr>
          <w:szCs w:val="24"/>
        </w:rPr>
      </w:pPr>
      <w:r>
        <w:rPr>
          <w:szCs w:val="24"/>
        </w:rPr>
        <w:t xml:space="preserve">Дата проведения заседания: </w:t>
      </w:r>
      <w:r>
        <w:rPr>
          <w:szCs w:val="24"/>
        </w:rPr>
        <w:t xml:space="preserve">2</w:t>
      </w:r>
      <w:r>
        <w:rPr>
          <w:szCs w:val="24"/>
        </w:rPr>
        <w:t xml:space="preserve">9</w:t>
      </w:r>
      <w:bookmarkStart w:id="0" w:name="_GoBack"/>
      <w:r/>
      <w:bookmarkEnd w:id="0"/>
      <w:r>
        <w:rPr>
          <w:szCs w:val="24"/>
        </w:rPr>
        <w:t xml:space="preserve"> </w:t>
      </w:r>
      <w:r>
        <w:rPr>
          <w:szCs w:val="24"/>
        </w:rPr>
        <w:t xml:space="preserve">сентября</w:t>
      </w:r>
      <w:r>
        <w:rPr>
          <w:szCs w:val="24"/>
        </w:rPr>
        <w:t xml:space="preserve"> 202</w:t>
      </w:r>
      <w:r>
        <w:rPr>
          <w:szCs w:val="24"/>
        </w:rPr>
        <w:t xml:space="preserve">5</w:t>
      </w:r>
      <w:r>
        <w:rPr>
          <w:szCs w:val="24"/>
        </w:rPr>
        <w:t xml:space="preserve"> г.</w:t>
      </w:r>
      <w:r>
        <w:rPr>
          <w:szCs w:val="24"/>
        </w:rPr>
      </w:r>
    </w:p>
    <w:p>
      <w:pPr>
        <w:pStyle w:val="735"/>
        <w:ind w:left="0" w:firstLine="720"/>
        <w:jc w:val="both"/>
        <w:rPr>
          <w:szCs w:val="24"/>
        </w:rPr>
      </w:pPr>
      <w:r>
        <w:rPr>
          <w:szCs w:val="24"/>
        </w:rPr>
        <w:t xml:space="preserve">Место проведения заседания: </w:t>
      </w:r>
      <w:r>
        <w:rPr>
          <w:szCs w:val="24"/>
        </w:rPr>
        <w:t xml:space="preserve">г. Томск, ул. Белинского, 60, 3 этаж.</w:t>
      </w:r>
      <w:r>
        <w:rPr>
          <w:szCs w:val="24"/>
        </w:rPr>
      </w:r>
    </w:p>
    <w:p>
      <w:pPr>
        <w:pStyle w:val="735"/>
        <w:ind w:left="0" w:firstLine="720"/>
        <w:jc w:val="both"/>
        <w:rPr>
          <w:szCs w:val="24"/>
        </w:rPr>
      </w:pPr>
      <w:r>
        <w:rPr>
          <w:szCs w:val="24"/>
        </w:rPr>
        <w:t xml:space="preserve">Время начала: </w:t>
      </w:r>
      <w:r>
        <w:rPr>
          <w:szCs w:val="24"/>
        </w:rPr>
        <w:t xml:space="preserve">16</w:t>
      </w:r>
      <w:r>
        <w:rPr>
          <w:szCs w:val="24"/>
        </w:rPr>
        <w:t xml:space="preserve"> ч. </w:t>
      </w:r>
      <w:r>
        <w:rPr>
          <w:szCs w:val="24"/>
        </w:rPr>
        <w:t xml:space="preserve">00</w:t>
      </w:r>
      <w:r>
        <w:rPr>
          <w:szCs w:val="24"/>
        </w:rPr>
        <w:t xml:space="preserve"> мин. по местному времени. </w:t>
      </w:r>
      <w:r>
        <w:rPr>
          <w:szCs w:val="24"/>
        </w:rPr>
      </w:r>
    </w:p>
    <w:p>
      <w:pPr>
        <w:pStyle w:val="735"/>
        <w:ind w:left="0" w:firstLine="720"/>
        <w:jc w:val="both"/>
        <w:rPr>
          <w:szCs w:val="24"/>
        </w:rPr>
      </w:pPr>
      <w:r>
        <w:rPr>
          <w:szCs w:val="24"/>
        </w:rPr>
        <w:t xml:space="preserve">Время окончания: 1</w:t>
      </w:r>
      <w:r>
        <w:rPr>
          <w:szCs w:val="24"/>
        </w:rPr>
        <w:t xml:space="preserve">6</w:t>
      </w:r>
      <w:r>
        <w:rPr>
          <w:szCs w:val="24"/>
        </w:rPr>
        <w:t xml:space="preserve"> ч. </w:t>
      </w:r>
      <w:r>
        <w:rPr>
          <w:szCs w:val="24"/>
        </w:rPr>
        <w:t xml:space="preserve">30</w:t>
      </w:r>
      <w:r>
        <w:rPr>
          <w:szCs w:val="24"/>
        </w:rPr>
        <w:t xml:space="preserve"> мин. по местному времени.</w:t>
      </w:r>
      <w:r>
        <w:rPr>
          <w:szCs w:val="24"/>
        </w:rPr>
      </w:r>
    </w:p>
    <w:p>
      <w:pPr>
        <w:pStyle w:val="735"/>
        <w:ind w:left="0"/>
        <w:jc w:val="both"/>
        <w:spacing w:before="40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35"/>
        <w:ind w:firstLine="12"/>
        <w:jc w:val="center"/>
        <w:spacing w:before="40"/>
        <w:rPr>
          <w:szCs w:val="24"/>
        </w:rPr>
      </w:pPr>
      <w:r>
        <w:rPr>
          <w:szCs w:val="24"/>
        </w:rPr>
        <w:t xml:space="preserve">Повестка дня:</w:t>
      </w:r>
      <w:r>
        <w:rPr>
          <w:szCs w:val="24"/>
        </w:rPr>
      </w:r>
    </w:p>
    <w:p>
      <w:pPr>
        <w:pStyle w:val="735"/>
        <w:numPr>
          <w:ilvl w:val="0"/>
          <w:numId w:val="15"/>
        </w:numPr>
        <w:jc w:val="both"/>
        <w:rPr>
          <w:szCs w:val="24"/>
        </w:rPr>
      </w:pPr>
      <w:r>
        <w:t xml:space="preserve">Рассмотрение</w:t>
      </w:r>
      <w:r>
        <w:t xml:space="preserve"> и оценка заявок на участие в Конкурсе,</w:t>
      </w:r>
      <w:r>
        <w:t xml:space="preserve"> </w:t>
      </w:r>
      <w:r>
        <w:rPr>
          <w:szCs w:val="24"/>
        </w:rPr>
        <w:t xml:space="preserve">выбор победителя</w:t>
      </w:r>
      <w:r>
        <w:rPr>
          <w:szCs w:val="24"/>
        </w:rPr>
        <w:t xml:space="preserve"> </w:t>
      </w:r>
      <w:r>
        <w:rPr>
          <w:szCs w:val="24"/>
        </w:rPr>
        <w:t xml:space="preserve">Конкурса</w:t>
      </w:r>
      <w:r>
        <w:rPr>
          <w:szCs w:val="24"/>
        </w:rPr>
        <w:t xml:space="preserve">.</w:t>
      </w:r>
      <w:r>
        <w:rPr>
          <w:szCs w:val="24"/>
        </w:rPr>
      </w:r>
    </w:p>
    <w:p>
      <w:pPr>
        <w:pStyle w:val="735"/>
        <w:ind w:left="0"/>
        <w:jc w:val="both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35"/>
        <w:numPr>
          <w:ilvl w:val="0"/>
          <w:numId w:val="38"/>
        </w:numPr>
        <w:jc w:val="both"/>
        <w:rPr>
          <w:szCs w:val="24"/>
        </w:rPr>
      </w:pPr>
      <w:r>
        <w:rPr>
          <w:szCs w:val="24"/>
        </w:rPr>
        <w:t xml:space="preserve">Конкурсная комиссия рассмотрела</w:t>
      </w:r>
      <w:r>
        <w:rPr>
          <w:szCs w:val="24"/>
        </w:rPr>
        <w:t xml:space="preserve"> 1 (одну) </w:t>
      </w:r>
      <w:r>
        <w:rPr>
          <w:szCs w:val="24"/>
        </w:rPr>
        <w:t xml:space="preserve">заяв</w:t>
      </w:r>
      <w:r>
        <w:rPr>
          <w:szCs w:val="24"/>
        </w:rPr>
        <w:t xml:space="preserve">ку, поступившую</w:t>
      </w:r>
      <w:r>
        <w:rPr>
          <w:szCs w:val="24"/>
        </w:rPr>
        <w:t xml:space="preserve"> на участие в</w:t>
      </w:r>
      <w:r>
        <w:t xml:space="preserve"> </w:t>
      </w:r>
      <w:r>
        <w:rPr>
          <w:szCs w:val="24"/>
        </w:rPr>
        <w:t xml:space="preserve">Конкурс</w:t>
      </w:r>
      <w:r>
        <w:rPr>
          <w:szCs w:val="24"/>
        </w:rPr>
        <w:t xml:space="preserve">е  № 2</w:t>
      </w:r>
      <w:r>
        <w:rPr>
          <w:szCs w:val="24"/>
        </w:rPr>
        <w:t xml:space="preserve"> «Комплексные услуги (РИД) - 2025»</w:t>
      </w:r>
      <w:r>
        <w:rPr>
          <w:szCs w:val="24"/>
        </w:rPr>
        <w:t xml:space="preserve"> </w:t>
      </w:r>
      <w:r>
        <w:rPr>
          <w:szCs w:val="24"/>
        </w:rPr>
        <w:t xml:space="preserve">(далее</w:t>
      </w:r>
      <w:r>
        <w:rPr>
          <w:szCs w:val="24"/>
        </w:rPr>
        <w:t xml:space="preserve"> – </w:t>
      </w:r>
      <w:r>
        <w:rPr>
          <w:szCs w:val="24"/>
        </w:rPr>
        <w:t xml:space="preserve">Конкурс)</w:t>
      </w:r>
      <w:r>
        <w:rPr>
          <w:b/>
          <w:bCs/>
          <w:szCs w:val="24"/>
        </w:rPr>
        <w:t xml:space="preserve"> </w:t>
      </w:r>
      <w:r>
        <w:rPr>
          <w:szCs w:val="24"/>
        </w:rPr>
        <w:t xml:space="preserve">на соответствие требованиям, установленным Положением </w:t>
      </w:r>
      <w:r>
        <w:rPr>
          <w:szCs w:val="24"/>
        </w:rPr>
        <w:t xml:space="preserve">о предоставлении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>
        <w:rPr>
          <w:szCs w:val="24"/>
        </w:rPr>
        <w:t xml:space="preserve"> </w:t>
      </w:r>
      <w:r>
        <w:rPr>
          <w:szCs w:val="24"/>
        </w:rPr>
        <w:t xml:space="preserve">Автономной некоммерческой организацией</w:t>
      </w:r>
      <w:r>
        <w:rPr>
          <w:szCs w:val="24"/>
        </w:rPr>
        <w:t xml:space="preserve"> </w:t>
      </w:r>
      <w:r>
        <w:rPr>
          <w:szCs w:val="24"/>
        </w:rPr>
        <w:t xml:space="preserve">«Центр инжиниринга и инноваций Томской области»</w:t>
      </w:r>
      <w:r>
        <w:rPr>
          <w:szCs w:val="24"/>
        </w:rPr>
        <w:t xml:space="preserve">, </w:t>
      </w:r>
      <w:r>
        <w:rPr>
          <w:szCs w:val="24"/>
        </w:rPr>
        <w:t xml:space="preserve">утвержденным Приказом АНО «ЦИИТО» </w:t>
      </w:r>
      <w:r>
        <w:rPr>
          <w:szCs w:val="24"/>
        </w:rPr>
        <w:t xml:space="preserve">от 01 августа 2025 № П-41-25</w:t>
      </w:r>
      <w:r>
        <w:rPr>
          <w:szCs w:val="24"/>
        </w:rPr>
        <w:t xml:space="preserve"> </w:t>
      </w:r>
      <w:r>
        <w:rPr>
          <w:szCs w:val="24"/>
        </w:rPr>
        <w:t xml:space="preserve">(далее – Положение), и приняла следующие решения:</w:t>
      </w:r>
      <w:r>
        <w:rPr>
          <w:szCs w:val="24"/>
        </w:rPr>
      </w:r>
    </w:p>
    <w:p>
      <w:pPr>
        <w:pStyle w:val="735"/>
        <w:ind w:left="0"/>
        <w:rPr>
          <w:b/>
          <w:bCs/>
          <w:i/>
          <w:iCs/>
        </w:rPr>
      </w:pPr>
      <w:r>
        <w:rPr>
          <w:b/>
          <w:bCs/>
          <w:i/>
          <w:iCs/>
        </w:rPr>
      </w:r>
      <w:r>
        <w:rPr>
          <w:b/>
          <w:bCs/>
          <w:i/>
          <w:iCs/>
        </w:rPr>
      </w:r>
    </w:p>
    <w:p>
      <w:pPr>
        <w:pStyle w:val="735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Лот</w:t>
      </w:r>
      <w:r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 xml:space="preserve">2</w:t>
      </w:r>
      <w:r>
        <w:rPr>
          <w:b/>
          <w:bCs/>
          <w:i/>
          <w:iCs/>
        </w:rPr>
      </w:r>
    </w:p>
    <w:p>
      <w:pPr>
        <w:pStyle w:val="735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  <w:szCs w:val="24"/>
          <w:lang w:eastAsia="ar-SA"/>
        </w:rPr>
        <w:t xml:space="preserve">«Услуги по оценке рыночной стоимости результатов интеллектуальной деятельности»</w:t>
      </w:r>
      <w:r>
        <w:rPr>
          <w:b/>
          <w:bCs/>
          <w:i/>
          <w:iCs/>
        </w:rPr>
      </w:r>
    </w:p>
    <w:p>
      <w:pPr>
        <w:ind w:firstLine="708"/>
        <w:jc w:val="both"/>
        <w:rPr>
          <w:lang w:eastAsia="en-US"/>
        </w:rPr>
      </w:pPr>
      <w:r>
        <w:rPr>
          <w:lang w:eastAsia="en-US"/>
        </w:rPr>
      </w:r>
      <w:r>
        <w:rPr>
          <w:lang w:eastAsia="en-US"/>
        </w:rPr>
      </w:r>
    </w:p>
    <w:p>
      <w:pPr>
        <w:ind w:left="708"/>
        <w:rPr>
          <w:lang w:eastAsia="ar-SA"/>
        </w:rPr>
      </w:pPr>
      <w:r>
        <w:rPr>
          <w:lang w:eastAsia="ar-SA"/>
        </w:rPr>
        <w:t xml:space="preserve">Заявок по данному </w:t>
      </w:r>
      <w:r>
        <w:rPr>
          <w:lang w:eastAsia="ar-SA"/>
        </w:rPr>
        <w:t xml:space="preserve">лоту </w:t>
      </w:r>
      <w:r>
        <w:rPr>
          <w:lang w:eastAsia="ar-SA"/>
        </w:rPr>
        <w:t xml:space="preserve">не подано. </w:t>
      </w:r>
      <w:r>
        <w:rPr>
          <w:lang w:eastAsia="ar-SA"/>
        </w:rPr>
      </w:r>
    </w:p>
    <w:p>
      <w:pPr>
        <w:ind w:firstLine="708"/>
        <w:jc w:val="both"/>
        <w:rPr>
          <w:lang w:eastAsia="en-US"/>
        </w:rPr>
      </w:pPr>
      <w:r>
        <w:rPr>
          <w:lang w:eastAsia="en-US"/>
        </w:rPr>
      </w:r>
      <w:r>
        <w:rPr>
          <w:lang w:eastAsia="en-US"/>
        </w:rPr>
      </w:r>
    </w:p>
    <w:p>
      <w:pPr>
        <w:pStyle w:val="735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Лот</w:t>
      </w:r>
      <w:r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 xml:space="preserve">4</w:t>
      </w:r>
      <w:r>
        <w:rPr>
          <w:b/>
          <w:bCs/>
          <w:i/>
          <w:iCs/>
        </w:rPr>
      </w:r>
    </w:p>
    <w:p>
      <w:pPr>
        <w:ind w:firstLine="708"/>
        <w:jc w:val="center"/>
        <w:rPr>
          <w:b/>
          <w:bCs/>
          <w:i/>
          <w:iCs/>
          <w:lang w:eastAsia="en-US"/>
        </w:rPr>
      </w:pPr>
      <w:r>
        <w:rPr>
          <w:b/>
          <w:bCs/>
          <w:i/>
          <w:iCs/>
          <w:lang w:eastAsia="ar-SA"/>
        </w:rPr>
        <w:t xml:space="preserve">«Услуги по подаче заявки на регистрацию патента на изобретение/полезную модель»</w:t>
      </w:r>
      <w:r>
        <w:rPr>
          <w:b/>
          <w:bCs/>
          <w:i/>
          <w:iCs/>
          <w:lang w:eastAsia="en-US"/>
        </w:rPr>
      </w:r>
    </w:p>
    <w:p>
      <w:pPr>
        <w:ind w:firstLine="708"/>
        <w:jc w:val="both"/>
        <w:rPr>
          <w:lang w:eastAsia="en-US"/>
        </w:rPr>
      </w:pPr>
      <w:r>
        <w:rPr>
          <w:lang w:eastAsia="en-US"/>
        </w:rPr>
      </w:r>
      <w:r>
        <w:rPr>
          <w:lang w:eastAsia="en-US"/>
        </w:rPr>
      </w:r>
    </w:p>
    <w:tbl>
      <w:tblPr>
        <w:tblStyle w:val="739"/>
        <w:tblW w:w="9493" w:type="dxa"/>
        <w:tblLook w:val="04A0" w:firstRow="1" w:lastRow="0" w:firstColumn="1" w:lastColumn="0" w:noHBand="0" w:noVBand="1"/>
      </w:tblPr>
      <w:tblGrid>
        <w:gridCol w:w="888"/>
        <w:gridCol w:w="3218"/>
        <w:gridCol w:w="5387"/>
      </w:tblGrid>
      <w:tr>
        <w:tblPrEx/>
        <w:trPr/>
        <w:tc>
          <w:tcPr>
            <w:tcW w:w="888" w:type="dxa"/>
            <w:textDirection w:val="lrTb"/>
            <w:noWrap w:val="false"/>
          </w:tcPr>
          <w:p>
            <w:r>
              <w:t xml:space="preserve">Номер</w:t>
            </w:r>
            <w:r/>
          </w:p>
          <w:p>
            <w:r>
              <w:t xml:space="preserve">заявки</w:t>
            </w:r>
            <w:r/>
          </w:p>
        </w:tc>
        <w:tc>
          <w:tcPr>
            <w:tcW w:w="3218" w:type="dxa"/>
            <w:textDirection w:val="lrTb"/>
            <w:noWrap w:val="false"/>
          </w:tcPr>
          <w:p>
            <w:pPr>
              <w:jc w:val="center"/>
            </w:pPr>
            <w:r>
              <w:t xml:space="preserve">Заявитель</w:t>
            </w:r>
            <w:r/>
          </w:p>
        </w:tc>
        <w:tc>
          <w:tcPr>
            <w:tcW w:w="5387" w:type="dxa"/>
            <w:textDirection w:val="lrTb"/>
            <w:noWrap w:val="false"/>
          </w:tcPr>
          <w:p>
            <w:pPr>
              <w:jc w:val="center"/>
            </w:pPr>
            <w:r>
              <w:t xml:space="preserve">Решение комиссии</w:t>
            </w:r>
            <w:r/>
          </w:p>
        </w:tc>
      </w:tr>
      <w:tr>
        <w:tblPrEx/>
        <w:trPr/>
        <w:tc>
          <w:tcPr>
            <w:tcW w:w="888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3218" w:type="dxa"/>
            <w:textDirection w:val="lrTb"/>
            <w:noWrap w:val="false"/>
          </w:tcPr>
          <w:p>
            <w:r>
              <w:t xml:space="preserve">ООО «ФабМеталл»</w:t>
            </w:r>
            <w:r/>
          </w:p>
          <w:p>
            <w:r>
              <w:t xml:space="preserve">ИНН 7000012383</w:t>
            </w:r>
            <w:r/>
          </w:p>
        </w:tc>
        <w:tc>
          <w:tcPr>
            <w:tcW w:w="5387" w:type="dxa"/>
            <w:textDirection w:val="lrTb"/>
            <w:noWrap w:val="false"/>
          </w:tcPr>
          <w:p>
            <w:pPr>
              <w:jc w:val="center"/>
            </w:pPr>
            <w:r>
              <w:t xml:space="preserve">Допустить к участию в конкурсе</w:t>
            </w:r>
            <w:r/>
          </w:p>
        </w:tc>
      </w:tr>
    </w:tbl>
    <w:p>
      <w:pPr>
        <w:pStyle w:val="735"/>
        <w:ind w:left="0"/>
        <w:spacing w:line="276" w:lineRule="auto"/>
        <w:tabs>
          <w:tab w:val="left" w:pos="993" w:leader="none"/>
        </w:tabs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35"/>
        <w:ind w:left="0" w:firstLine="709"/>
        <w:jc w:val="both"/>
        <w:spacing w:line="276" w:lineRule="auto"/>
        <w:rPr>
          <w:szCs w:val="24"/>
        </w:rPr>
      </w:pPr>
      <w:r>
        <w:rPr>
          <w:szCs w:val="24"/>
        </w:rPr>
        <w:t xml:space="preserve">РЕШЕНИЕ принято.</w:t>
      </w:r>
      <w:r>
        <w:rPr>
          <w:szCs w:val="24"/>
        </w:rPr>
      </w:r>
    </w:p>
    <w:p>
      <w:pPr>
        <w:pStyle w:val="735"/>
        <w:ind w:left="0" w:firstLine="709"/>
        <w:jc w:val="both"/>
        <w:spacing w:line="276" w:lineRule="auto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35"/>
        <w:numPr>
          <w:ilvl w:val="0"/>
          <w:numId w:val="38"/>
        </w:numPr>
        <w:jc w:val="both"/>
        <w:rPr>
          <w:szCs w:val="24"/>
        </w:rPr>
      </w:pPr>
      <w:r>
        <w:rPr>
          <w:szCs w:val="24"/>
        </w:rPr>
        <w:t xml:space="preserve">Конкурсная комиссия,</w:t>
      </w:r>
      <w:r>
        <w:t xml:space="preserve"> </w:t>
      </w:r>
      <w:r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 xml:space="preserve">о</w:t>
      </w:r>
      <w:r>
        <w:rPr>
          <w:szCs w:val="24"/>
        </w:rPr>
        <w:t xml:space="preserve">тчет</w:t>
      </w:r>
      <w:r>
        <w:rPr>
          <w:szCs w:val="24"/>
        </w:rPr>
        <w:t xml:space="preserve">е</w:t>
      </w:r>
      <w:r>
        <w:rPr>
          <w:szCs w:val="24"/>
        </w:rPr>
        <w:t xml:space="preserve"> о скоринговой оценке </w:t>
      </w:r>
      <w:r>
        <w:rPr>
          <w:szCs w:val="24"/>
        </w:rPr>
        <w:t xml:space="preserve">Участник</w:t>
      </w:r>
      <w:r>
        <w:rPr>
          <w:szCs w:val="24"/>
        </w:rPr>
        <w:t xml:space="preserve">а</w:t>
      </w:r>
      <w:r>
        <w:rPr>
          <w:szCs w:val="24"/>
        </w:rPr>
        <w:t xml:space="preserve"> Конкурса, провела оценку заяв</w:t>
      </w:r>
      <w:r>
        <w:rPr>
          <w:szCs w:val="24"/>
        </w:rPr>
        <w:t xml:space="preserve">ки</w:t>
      </w:r>
      <w:r>
        <w:rPr>
          <w:szCs w:val="24"/>
        </w:rPr>
        <w:t xml:space="preserve"> </w:t>
      </w:r>
      <w:r>
        <w:rPr>
          <w:szCs w:val="24"/>
        </w:rPr>
        <w:t xml:space="preserve">единственного </w:t>
      </w:r>
      <w:r>
        <w:rPr>
          <w:szCs w:val="24"/>
        </w:rPr>
        <w:t xml:space="preserve">Участник</w:t>
      </w:r>
      <w:r>
        <w:rPr>
          <w:szCs w:val="24"/>
        </w:rPr>
        <w:t xml:space="preserve">а</w:t>
      </w:r>
      <w:r>
        <w:rPr>
          <w:szCs w:val="24"/>
        </w:rPr>
        <w:t xml:space="preserve"> Конкурса. В соответствии с </w:t>
      </w:r>
      <w:r>
        <w:t xml:space="preserve">утвержденным рейтингом </w:t>
      </w:r>
      <w:r>
        <w:rPr>
          <w:szCs w:val="24"/>
        </w:rPr>
        <w:t xml:space="preserve">Конкурсная комиссия решила признать победител</w:t>
      </w:r>
      <w:r>
        <w:rPr>
          <w:szCs w:val="24"/>
        </w:rPr>
        <w:t xml:space="preserve">ем Конкурса единственного Участника</w:t>
      </w:r>
      <w:r>
        <w:rPr>
          <w:szCs w:val="24"/>
        </w:rPr>
        <w:t xml:space="preserve">:</w:t>
      </w:r>
      <w:r>
        <w:rPr>
          <w:szCs w:val="24"/>
        </w:rPr>
      </w:r>
    </w:p>
    <w:p>
      <w:pPr>
        <w:jc w:val="both"/>
        <w:rPr>
          <w:lang w:eastAsia="en-US"/>
        </w:rPr>
      </w:pPr>
      <w:r>
        <w:rPr>
          <w:lang w:eastAsia="en-US"/>
        </w:rPr>
      </w:r>
      <w:r>
        <w:rPr>
          <w:lang w:eastAsia="en-US"/>
        </w:rPr>
      </w:r>
    </w:p>
    <w:p>
      <w:pPr>
        <w:pStyle w:val="735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Лот</w:t>
      </w:r>
      <w:r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 xml:space="preserve">4</w:t>
      </w:r>
      <w:r>
        <w:rPr>
          <w:b/>
          <w:bCs/>
          <w:i/>
          <w:iCs/>
        </w:rPr>
      </w:r>
    </w:p>
    <w:p>
      <w:pPr>
        <w:ind w:firstLine="708"/>
        <w:jc w:val="center"/>
        <w:rPr>
          <w:b/>
          <w:bCs/>
          <w:i/>
          <w:iCs/>
          <w:lang w:eastAsia="en-US"/>
        </w:rPr>
      </w:pPr>
      <w:r>
        <w:rPr>
          <w:b/>
          <w:bCs/>
          <w:i/>
          <w:iCs/>
          <w:lang w:eastAsia="ar-SA"/>
        </w:rPr>
        <w:t xml:space="preserve">«Услуги по подаче заявки на регистрацию патента на изобретение/полезную модель»</w:t>
      </w:r>
      <w:r>
        <w:rPr>
          <w:b/>
          <w:bCs/>
          <w:i/>
          <w:iCs/>
          <w:lang w:eastAsia="en-US"/>
        </w:rPr>
      </w:r>
    </w:p>
    <w:p>
      <w:pPr>
        <w:ind w:firstLine="708"/>
        <w:jc w:val="both"/>
        <w:rPr>
          <w:lang w:eastAsia="en-US"/>
        </w:rPr>
      </w:pPr>
      <w:r>
        <w:rPr>
          <w:lang w:eastAsia="en-US"/>
        </w:rPr>
      </w:r>
      <w:r>
        <w:rPr>
          <w:lang w:eastAsia="en-US"/>
        </w:rPr>
      </w:r>
    </w:p>
    <w:tbl>
      <w:tblPr>
        <w:tblStyle w:val="739"/>
        <w:tblW w:w="11808" w:type="dxa"/>
        <w:tblLayout w:type="fixed"/>
        <w:tblLook w:val="04A0" w:firstRow="1" w:lastRow="0" w:firstColumn="1" w:lastColumn="0" w:noHBand="0" w:noVBand="1"/>
      </w:tblPr>
      <w:tblGrid>
        <w:gridCol w:w="3833"/>
        <w:gridCol w:w="7975"/>
      </w:tblGrid>
      <w:tr>
        <w:tblPrEx/>
        <w:trPr>
          <w:trHeight w:val="617"/>
        </w:trPr>
        <w:tc>
          <w:tcPr>
            <w:tcW w:w="3833" w:type="dxa"/>
            <w:textDirection w:val="lrTb"/>
            <w:noWrap w:val="false"/>
          </w:tcPr>
          <w:p>
            <w:r>
              <w:t xml:space="preserve">Номер в рейтинге</w:t>
            </w:r>
            <w:r/>
          </w:p>
        </w:tc>
        <w:tc>
          <w:tcPr>
            <w:tcW w:w="7975" w:type="dxa"/>
            <w:textDirection w:val="lrTb"/>
            <w:noWrap w:val="false"/>
          </w:tcPr>
          <w:p>
            <w:pPr>
              <w:jc w:val="center"/>
            </w:pPr>
            <w:r>
              <w:t xml:space="preserve">Победитель</w:t>
            </w:r>
            <w:r/>
          </w:p>
        </w:tc>
      </w:tr>
      <w:tr>
        <w:tblPrEx/>
        <w:trPr>
          <w:trHeight w:val="388"/>
        </w:trPr>
        <w:tc>
          <w:tcPr>
            <w:tcW w:w="3833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7975" w:type="dxa"/>
            <w:textDirection w:val="lrTb"/>
            <w:noWrap w:val="false"/>
          </w:tcPr>
          <w:p>
            <w:r>
              <w:t xml:space="preserve">ООО «ФабМеталл»</w:t>
            </w:r>
            <w:r/>
          </w:p>
        </w:tc>
      </w:tr>
    </w:tbl>
    <w:p>
      <w:pPr>
        <w:jc w:val="both"/>
        <w:rPr>
          <w:lang w:eastAsia="en-US"/>
        </w:rPr>
      </w:pPr>
      <w:r>
        <w:rPr>
          <w:lang w:eastAsia="en-US"/>
        </w:rPr>
      </w:r>
      <w:r>
        <w:rPr>
          <w:lang w:eastAsia="en-US"/>
        </w:rPr>
      </w:r>
    </w:p>
    <w:p>
      <w:pPr>
        <w:pStyle w:val="735"/>
        <w:ind w:left="0" w:firstLine="709"/>
        <w:jc w:val="both"/>
        <w:spacing w:line="276" w:lineRule="auto"/>
        <w:rPr>
          <w:szCs w:val="24"/>
        </w:rPr>
      </w:pPr>
      <w:r>
        <w:rPr>
          <w:szCs w:val="24"/>
        </w:rPr>
        <w:t xml:space="preserve">РЕШЕНИЕ принято.</w:t>
      </w:r>
      <w:r>
        <w:rPr>
          <w:szCs w:val="24"/>
        </w:rPr>
      </w:r>
    </w:p>
    <w:p>
      <w:pPr>
        <w:jc w:val="both"/>
        <w:rPr>
          <w:lang w:eastAsia="en-US"/>
        </w:rPr>
      </w:pPr>
      <w:r>
        <w:rPr>
          <w:lang w:eastAsia="en-US"/>
        </w:rPr>
      </w:r>
      <w:r>
        <w:rPr>
          <w:lang w:eastAsia="en-US"/>
        </w:rPr>
      </w:r>
    </w:p>
    <w:p>
      <w:pPr>
        <w:ind w:firstLine="708"/>
        <w:jc w:val="both"/>
        <w:rPr>
          <w:lang w:eastAsia="en-US"/>
        </w:rPr>
      </w:pPr>
      <w:r>
        <w:rPr>
          <w:lang w:eastAsia="en-US"/>
        </w:rPr>
        <w:t xml:space="preserve">Согласно пункту </w:t>
      </w:r>
      <w:r>
        <w:rPr>
          <w:lang w:eastAsia="en-US"/>
        </w:rPr>
        <w:t xml:space="preserve">6</w:t>
      </w:r>
      <w:r>
        <w:rPr>
          <w:lang w:eastAsia="en-US"/>
        </w:rPr>
        <w:t xml:space="preserve">.</w:t>
      </w:r>
      <w:r>
        <w:rPr>
          <w:lang w:eastAsia="en-US"/>
        </w:rPr>
        <w:t xml:space="preserve">5</w:t>
      </w:r>
      <w:r>
        <w:rPr>
          <w:lang w:eastAsia="en-US"/>
        </w:rPr>
        <w:t xml:space="preserve">. Положения, выписку из настоящего протокола разместить на сайте http:// www.engineering.tomsk.ru.</w:t>
      </w:r>
      <w:r>
        <w:rPr>
          <w:lang w:eastAsia="en-US"/>
        </w:rPr>
      </w:r>
    </w:p>
    <w:p>
      <w:pPr>
        <w:ind w:firstLine="708"/>
        <w:jc w:val="both"/>
        <w:rPr>
          <w:lang w:eastAsia="en-US"/>
        </w:rPr>
      </w:pPr>
      <w:r>
        <w:rPr>
          <w:lang w:eastAsia="en-US"/>
        </w:rPr>
        <w:t xml:space="preserve">Иных вопросов в повестке дня заседания членов Конкурсной комиссии нет. Заседание закрыто.</w:t>
      </w:r>
      <w:r>
        <w:rPr>
          <w:lang w:eastAsia="en-US"/>
        </w:rPr>
      </w:r>
    </w:p>
    <w:p>
      <w:pPr>
        <w:tabs>
          <w:tab w:val="left" w:pos="993" w:leader="none"/>
        </w:tabs>
      </w:pPr>
      <w:r/>
      <w:r/>
    </w:p>
    <w:sectPr>
      <w:footnotePr/>
      <w:endnotePr/>
      <w:type w:val="nextPage"/>
      <w:pgSz w:w="11906" w:h="16838" w:orient="portrait"/>
      <w:pgMar w:top="851" w:right="851" w:bottom="851" w:left="1418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Garamond">
    <w:panose1 w:val="02020603020101020101"/>
  </w:font>
  <w:font w:name="Courier New">
    <w:panose1 w:val="02070409020205020404"/>
  </w:font>
  <w:font w:name="Segoe UI">
    <w:panose1 w:val="020B0502040504020204"/>
  </w:font>
  <w:font w:name="Verdana">
    <w:panose1 w:val="020B0603030804020204"/>
  </w:font>
  <w:font w:name="Batang">
    <w:panose1 w:val="02020603020101020101"/>
  </w:font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931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651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371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091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81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53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251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971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785" w:hanging="1065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778" w:hanging="360"/>
      </w:pPr>
      <w:rPr>
        <w:rFonts w:hint="default"/>
        <w:b w:val="0"/>
      </w:rPr>
    </w:lvl>
    <w:lvl w:ilvl="1">
      <w:start w:val="1"/>
      <w:numFmt w:val="lowerLetter"/>
      <w:isLgl w:val="false"/>
      <w:suff w:val="tab"/>
      <w:lvlText w:val="%2."/>
      <w:lvlJc w:val="left"/>
      <w:pPr>
        <w:ind w:left="249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321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93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65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37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609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81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538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/>
      <w:suff w:val="tab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64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36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08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80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52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24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96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688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8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3"/>
      <w:numFmt w:val="decimal"/>
      <w:isLgl w:val="false"/>
      <w:suff w:val="tab"/>
      <w:lvlText w:val="%1"/>
      <w:lvlJc w:val="left"/>
      <w:pPr>
        <w:ind w:left="107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9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1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3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5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7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9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1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30" w:hanging="180"/>
      </w:p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8" w:hanging="180"/>
      </w:p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86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8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30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02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74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6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8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900" w:hanging="180"/>
      </w:p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  <w:rPr>
        <w:rFonts w:hint="default"/>
        <w:sz w:val="26"/>
      </w:r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050" w:hanging="1065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9564" w:hanging="36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2967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3098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3589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720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211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342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4833" w:hanging="1800"/>
      </w:pPr>
      <w:rPr>
        <w:rFonts w:hint="default"/>
      </w:r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2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86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8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30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02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74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6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8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900" w:hanging="180"/>
      </w:pPr>
    </w:lvl>
  </w:abstractNum>
  <w:abstractNum w:abstractNumId="3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3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931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651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371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091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81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53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251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971" w:hanging="180"/>
      </w:pPr>
    </w:lvl>
  </w:abstractNum>
  <w:abstractNum w:abstractNumId="3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785" w:hanging="1065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3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931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651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371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091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81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53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251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971" w:hanging="180"/>
      </w:pPr>
    </w:lvl>
  </w:abstractNum>
  <w:abstractNum w:abstractNumId="3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024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6744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7464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8184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8904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9624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10344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11064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11784" w:hanging="180"/>
      </w:pPr>
    </w:lvl>
  </w:abstractNum>
  <w:num w:numId="1">
    <w:abstractNumId w:val="6"/>
  </w:num>
  <w:num w:numId="2">
    <w:abstractNumId w:val="7"/>
  </w:num>
  <w:num w:numId="3">
    <w:abstractNumId w:val="33"/>
  </w:num>
  <w:num w:numId="4">
    <w:abstractNumId w:val="34"/>
  </w:num>
  <w:num w:numId="5">
    <w:abstractNumId w:val="4"/>
  </w:num>
  <w:num w:numId="6">
    <w:abstractNumId w:val="36"/>
  </w:num>
  <w:num w:numId="7">
    <w:abstractNumId w:val="0"/>
  </w:num>
  <w:num w:numId="8">
    <w:abstractNumId w:val="22"/>
  </w:num>
  <w:num w:numId="9">
    <w:abstractNumId w:val="15"/>
  </w:num>
  <w:num w:numId="10">
    <w:abstractNumId w:val="10"/>
  </w:num>
  <w:num w:numId="11">
    <w:abstractNumId w:val="8"/>
  </w:num>
  <w:num w:numId="12">
    <w:abstractNumId w:val="37"/>
  </w:num>
  <w:num w:numId="13">
    <w:abstractNumId w:val="30"/>
  </w:num>
  <w:num w:numId="14">
    <w:abstractNumId w:val="26"/>
  </w:num>
  <w:num w:numId="15">
    <w:abstractNumId w:val="16"/>
  </w:num>
  <w:num w:numId="16">
    <w:abstractNumId w:val="29"/>
  </w:num>
  <w:num w:numId="17">
    <w:abstractNumId w:val="9"/>
  </w:num>
  <w:num w:numId="18">
    <w:abstractNumId w:val="2"/>
  </w:num>
  <w:num w:numId="19">
    <w:abstractNumId w:val="17"/>
  </w:num>
  <w:num w:numId="20">
    <w:abstractNumId w:val="20"/>
  </w:num>
  <w:num w:numId="21">
    <w:abstractNumId w:val="25"/>
  </w:num>
  <w:num w:numId="22">
    <w:abstractNumId w:val="11"/>
  </w:num>
  <w:num w:numId="23">
    <w:abstractNumId w:val="21"/>
  </w:num>
  <w:num w:numId="24">
    <w:abstractNumId w:val="1"/>
  </w:num>
  <w:num w:numId="25">
    <w:abstractNumId w:val="19"/>
  </w:num>
  <w:num w:numId="26">
    <w:abstractNumId w:val="35"/>
  </w:num>
  <w:num w:numId="27">
    <w:abstractNumId w:val="32"/>
  </w:num>
  <w:num w:numId="28">
    <w:abstractNumId w:val="27"/>
  </w:num>
  <w:num w:numId="29">
    <w:abstractNumId w:val="13"/>
  </w:num>
  <w:num w:numId="30">
    <w:abstractNumId w:val="3"/>
  </w:num>
  <w:num w:numId="31">
    <w:abstractNumId w:val="18"/>
  </w:num>
  <w:num w:numId="32">
    <w:abstractNumId w:val="14"/>
  </w:num>
  <w:num w:numId="33">
    <w:abstractNumId w:val="24"/>
  </w:num>
  <w:num w:numId="34">
    <w:abstractNumId w:val="31"/>
  </w:num>
  <w:num w:numId="35">
    <w:abstractNumId w:val="12"/>
  </w:num>
  <w:num w:numId="36">
    <w:abstractNumId w:val="5"/>
  </w:num>
  <w:num w:numId="37">
    <w:abstractNumId w:val="23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729"/>
    <w:next w:val="729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730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729"/>
    <w:next w:val="72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730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729"/>
    <w:next w:val="729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730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729"/>
    <w:next w:val="72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730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729"/>
    <w:next w:val="72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730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729"/>
    <w:next w:val="72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730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729"/>
    <w:next w:val="72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730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729"/>
    <w:next w:val="72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730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729"/>
    <w:next w:val="72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730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729"/>
    <w:next w:val="72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730"/>
    <w:link w:val="34"/>
    <w:uiPriority w:val="10"/>
    <w:rPr>
      <w:sz w:val="48"/>
      <w:szCs w:val="48"/>
    </w:rPr>
  </w:style>
  <w:style w:type="paragraph" w:styleId="36">
    <w:name w:val="Subtitle"/>
    <w:basedOn w:val="729"/>
    <w:next w:val="72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730"/>
    <w:link w:val="36"/>
    <w:uiPriority w:val="11"/>
    <w:rPr>
      <w:sz w:val="24"/>
      <w:szCs w:val="24"/>
    </w:rPr>
  </w:style>
  <w:style w:type="paragraph" w:styleId="38">
    <w:name w:val="Quote"/>
    <w:basedOn w:val="729"/>
    <w:next w:val="72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729"/>
    <w:next w:val="72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730"/>
    <w:link w:val="747"/>
    <w:uiPriority w:val="99"/>
  </w:style>
  <w:style w:type="character" w:styleId="45">
    <w:name w:val="Footer Char"/>
    <w:basedOn w:val="730"/>
    <w:link w:val="749"/>
    <w:uiPriority w:val="99"/>
  </w:style>
  <w:style w:type="paragraph" w:styleId="46">
    <w:name w:val="Caption"/>
    <w:basedOn w:val="729"/>
    <w:next w:val="72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749"/>
    <w:uiPriority w:val="99"/>
  </w:style>
  <w:style w:type="table" w:styleId="49">
    <w:name w:val="Table Grid Light"/>
    <w:basedOn w:val="7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7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7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7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7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7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7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7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7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7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7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7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72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730"/>
    <w:uiPriority w:val="99"/>
    <w:unhideWhenUsed/>
    <w:rPr>
      <w:vertAlign w:val="superscript"/>
    </w:rPr>
  </w:style>
  <w:style w:type="paragraph" w:styleId="178">
    <w:name w:val="endnote text"/>
    <w:basedOn w:val="72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730"/>
    <w:uiPriority w:val="99"/>
    <w:semiHidden/>
    <w:unhideWhenUsed/>
    <w:rPr>
      <w:vertAlign w:val="superscript"/>
    </w:rPr>
  </w:style>
  <w:style w:type="paragraph" w:styleId="181">
    <w:name w:val="toc 1"/>
    <w:basedOn w:val="729"/>
    <w:next w:val="72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729"/>
    <w:next w:val="72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729"/>
    <w:next w:val="72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729"/>
    <w:next w:val="72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729"/>
    <w:next w:val="72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729"/>
    <w:next w:val="72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729"/>
    <w:next w:val="72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729"/>
    <w:next w:val="72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729"/>
    <w:next w:val="72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729"/>
    <w:next w:val="729"/>
    <w:uiPriority w:val="99"/>
    <w:unhideWhenUsed/>
    <w:pPr>
      <w:spacing w:after="0" w:afterAutospacing="0"/>
    </w:pPr>
  </w:style>
  <w:style w:type="paragraph" w:styleId="729" w:default="1">
    <w:name w:val="Normal"/>
    <w:qFormat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730" w:default="1">
    <w:name w:val="Default Paragraph Font"/>
    <w:uiPriority w:val="1"/>
    <w:semiHidden/>
    <w:unhideWhenUsed/>
  </w:style>
  <w:style w:type="table" w:styleId="73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32" w:default="1">
    <w:name w:val="No List"/>
    <w:uiPriority w:val="99"/>
    <w:semiHidden/>
    <w:unhideWhenUsed/>
  </w:style>
  <w:style w:type="paragraph" w:styleId="733">
    <w:name w:val="Body Text"/>
    <w:basedOn w:val="729"/>
    <w:link w:val="734"/>
    <w:pPr>
      <w:spacing w:after="140" w:line="288" w:lineRule="auto"/>
    </w:pPr>
    <w:rPr>
      <w:rFonts w:eastAsia="Calibri"/>
    </w:rPr>
  </w:style>
  <w:style w:type="character" w:styleId="734" w:customStyle="1">
    <w:name w:val="Основной текст Знак"/>
    <w:basedOn w:val="730"/>
    <w:link w:val="733"/>
    <w:rPr>
      <w:rFonts w:ascii="Times New Roman" w:hAnsi="Times New Roman" w:eastAsia="Calibri" w:cs="Times New Roman"/>
      <w:sz w:val="24"/>
      <w:szCs w:val="24"/>
      <w:lang w:eastAsia="ru-RU"/>
    </w:rPr>
  </w:style>
  <w:style w:type="paragraph" w:styleId="735" w:customStyle="1">
    <w:name w:val="Стиль2"/>
    <w:basedOn w:val="729"/>
    <w:pPr>
      <w:ind w:left="708"/>
    </w:pPr>
    <w:rPr>
      <w:szCs w:val="22"/>
      <w:lang w:eastAsia="en-US"/>
    </w:rPr>
  </w:style>
  <w:style w:type="paragraph" w:styleId="736">
    <w:name w:val="No Spacing"/>
    <w:uiPriority w:val="1"/>
    <w:qFormat/>
    <w:pPr>
      <w:spacing w:after="0" w:line="240" w:lineRule="auto"/>
    </w:pPr>
    <w:rPr>
      <w:rFonts w:ascii="Times New Roman" w:hAnsi="Times New Roman" w:eastAsia="Times New Roman" w:cs="Times New Roman"/>
      <w:sz w:val="24"/>
    </w:rPr>
  </w:style>
  <w:style w:type="paragraph" w:styleId="737" w:customStyle="1">
    <w:name w:val="Знак Знак Знак Знак Знак Знак Знак Знак Знак Знак Знак"/>
    <w:basedOn w:val="729"/>
    <w:pPr>
      <w:spacing w:after="160" w:line="240" w:lineRule="exact"/>
    </w:pPr>
    <w:rPr>
      <w:rFonts w:ascii="Verdana" w:hAnsi="Verdana" w:eastAsia="Batang" w:cs="Verdana"/>
      <w:sz w:val="20"/>
      <w:szCs w:val="20"/>
      <w:lang w:val="en-US" w:eastAsia="en-US"/>
    </w:rPr>
  </w:style>
  <w:style w:type="paragraph" w:styleId="738" w:customStyle="1">
    <w:name w:val="ConsPlusCell"/>
    <w:pPr>
      <w:spacing w:after="0" w:line="240" w:lineRule="auto"/>
      <w:widowControl w:val="off"/>
    </w:pPr>
    <w:rPr>
      <w:rFonts w:ascii="Arial" w:hAnsi="Arial" w:eastAsia="Times New Roman" w:cs="Arial"/>
      <w:sz w:val="20"/>
      <w:szCs w:val="20"/>
      <w:lang w:eastAsia="ru-RU"/>
    </w:rPr>
  </w:style>
  <w:style w:type="table" w:styleId="739">
    <w:name w:val="Table Grid"/>
    <w:basedOn w:val="731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740" w:customStyle="1">
    <w:name w:val="Сетка таблицы1"/>
    <w:basedOn w:val="731"/>
    <w:next w:val="73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741">
    <w:name w:val="Balloon Text"/>
    <w:basedOn w:val="729"/>
    <w:link w:val="742"/>
    <w:uiPriority w:val="99"/>
    <w:semiHidden/>
    <w:unhideWhenUsed/>
    <w:rPr>
      <w:rFonts w:ascii="Segoe UI" w:hAnsi="Segoe UI" w:cs="Segoe UI"/>
      <w:sz w:val="18"/>
      <w:szCs w:val="18"/>
    </w:rPr>
  </w:style>
  <w:style w:type="character" w:styleId="742" w:customStyle="1">
    <w:name w:val="Текст выноски Знак"/>
    <w:basedOn w:val="730"/>
    <w:link w:val="741"/>
    <w:uiPriority w:val="99"/>
    <w:semiHidden/>
    <w:rPr>
      <w:rFonts w:ascii="Segoe UI" w:hAnsi="Segoe UI" w:eastAsia="Times New Roman" w:cs="Segoe UI"/>
      <w:sz w:val="18"/>
      <w:szCs w:val="18"/>
      <w:lang w:eastAsia="ru-RU"/>
    </w:rPr>
  </w:style>
  <w:style w:type="paragraph" w:styleId="743" w:customStyle="1">
    <w:name w:val="Абзац списка1"/>
    <w:basedOn w:val="729"/>
    <w:link w:val="744"/>
    <w:pPr>
      <w:ind w:left="720"/>
      <w:jc w:val="both"/>
    </w:pPr>
    <w:rPr>
      <w:sz w:val="20"/>
      <w:szCs w:val="20"/>
    </w:rPr>
  </w:style>
  <w:style w:type="character" w:styleId="744" w:customStyle="1">
    <w:name w:val="List Paragraph Char"/>
    <w:link w:val="743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745" w:customStyle="1">
    <w:name w:val="ConsPlusNonformat"/>
    <w:link w:val="746"/>
    <w:uiPriority w:val="99"/>
    <w:pPr>
      <w:ind w:firstLine="720"/>
      <w:jc w:val="both"/>
      <w:spacing w:after="0" w:line="240" w:lineRule="auto"/>
      <w:widowControl w:val="off"/>
    </w:pPr>
    <w:rPr>
      <w:rFonts w:ascii="Courier New" w:hAnsi="Courier New" w:eastAsia="Times New Roman" w:cs="Courier New"/>
      <w:sz w:val="20"/>
      <w:szCs w:val="20"/>
      <w:lang w:eastAsia="ru-RU"/>
    </w:rPr>
  </w:style>
  <w:style w:type="character" w:styleId="746" w:customStyle="1">
    <w:name w:val="ConsPlusNonformat Знак"/>
    <w:link w:val="745"/>
    <w:uiPriority w:val="99"/>
    <w:rPr>
      <w:rFonts w:ascii="Courier New" w:hAnsi="Courier New" w:eastAsia="Times New Roman" w:cs="Courier New"/>
      <w:sz w:val="20"/>
      <w:szCs w:val="20"/>
      <w:lang w:eastAsia="ru-RU"/>
    </w:rPr>
  </w:style>
  <w:style w:type="paragraph" w:styleId="747">
    <w:name w:val="Header"/>
    <w:basedOn w:val="729"/>
    <w:link w:val="748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748" w:customStyle="1">
    <w:name w:val="Верхний колонтитул Знак"/>
    <w:basedOn w:val="730"/>
    <w:link w:val="747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749">
    <w:name w:val="Footer"/>
    <w:basedOn w:val="729"/>
    <w:link w:val="750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750" w:customStyle="1">
    <w:name w:val="Нижний колонтитул Знак"/>
    <w:basedOn w:val="730"/>
    <w:link w:val="749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751" w:customStyle="1">
    <w:name w:val="Default"/>
    <w:uiPriority w:val="99"/>
    <w:pPr>
      <w:jc w:val="both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752">
    <w:name w:val="List Paragraph"/>
    <w:basedOn w:val="729"/>
    <w:uiPriority w:val="34"/>
    <w:qFormat/>
    <w:pPr>
      <w:contextualSpacing/>
      <w:ind w:left="720"/>
    </w:pPr>
  </w:style>
  <w:style w:type="table" w:styleId="753" w:customStyle="1">
    <w:name w:val="Сетка таблицы2"/>
    <w:basedOn w:val="731"/>
    <w:next w:val="739"/>
    <w:uiPriority w:val="3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754" w:customStyle="1">
    <w:name w:val="Сетка таблицы7"/>
    <w:basedOn w:val="731"/>
    <w:next w:val="739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755" w:customStyle="1">
    <w:name w:val="Сетка таблицы3"/>
    <w:basedOn w:val="731"/>
    <w:next w:val="739"/>
    <w:uiPriority w:val="3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BA1B54-958E-4C2C-A45A-E786AB2DE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>diakov.net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Станислав Терешкин</cp:lastModifiedBy>
  <cp:revision>17</cp:revision>
  <dcterms:created xsi:type="dcterms:W3CDTF">2025-07-25T09:36:00Z</dcterms:created>
  <dcterms:modified xsi:type="dcterms:W3CDTF">2025-10-07T15:10:12Z</dcterms:modified>
</cp:coreProperties>
</file>